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06" w:rsidRPr="009B3985" w:rsidRDefault="00C02106" w:rsidP="00C02106">
      <w:pPr>
        <w:jc w:val="center"/>
        <w:rPr>
          <w:b/>
          <w:sz w:val="24"/>
          <w:szCs w:val="24"/>
          <w:lang w:val="uk-UA"/>
        </w:rPr>
      </w:pPr>
      <w:r w:rsidRPr="009B3985">
        <w:rPr>
          <w:b/>
          <w:sz w:val="24"/>
          <w:szCs w:val="24"/>
          <w:lang w:val="uk-UA"/>
        </w:rPr>
        <w:t>Аналіз регуляторного впливу проекту рішення</w:t>
      </w:r>
    </w:p>
    <w:p w:rsidR="00C02106" w:rsidRPr="009B3985" w:rsidRDefault="00C02106" w:rsidP="00C02106">
      <w:pPr>
        <w:jc w:val="center"/>
        <w:rPr>
          <w:b/>
          <w:sz w:val="24"/>
          <w:szCs w:val="24"/>
          <w:lang w:val="uk-UA"/>
        </w:rPr>
      </w:pPr>
      <w:r w:rsidRPr="009B3985">
        <w:rPr>
          <w:b/>
          <w:sz w:val="24"/>
          <w:szCs w:val="24"/>
          <w:lang w:val="uk-UA"/>
        </w:rPr>
        <w:t xml:space="preserve">міської ради «Про затвердження Положення про конкурсний відбір суб’єктів оціночної </w:t>
      </w:r>
      <w:bookmarkStart w:id="0" w:name="_GoBack"/>
      <w:bookmarkEnd w:id="0"/>
      <w:r w:rsidRPr="009B3985">
        <w:rPr>
          <w:b/>
          <w:sz w:val="24"/>
          <w:szCs w:val="24"/>
          <w:lang w:val="uk-UA"/>
        </w:rPr>
        <w:t>діяльності »</w:t>
      </w:r>
    </w:p>
    <w:p w:rsidR="00C02106" w:rsidRPr="00E26102" w:rsidRDefault="00C02106" w:rsidP="00C02106">
      <w:pPr>
        <w:rPr>
          <w:sz w:val="24"/>
          <w:szCs w:val="24"/>
          <w:lang w:val="uk-UA"/>
        </w:rPr>
      </w:pPr>
    </w:p>
    <w:p w:rsidR="00C02106" w:rsidRPr="00E26102" w:rsidRDefault="00C02106" w:rsidP="00C02106">
      <w:pPr>
        <w:numPr>
          <w:ilvl w:val="0"/>
          <w:numId w:val="1"/>
        </w:numPr>
        <w:jc w:val="center"/>
        <w:rPr>
          <w:sz w:val="24"/>
          <w:szCs w:val="24"/>
          <w:lang w:val="uk-UA"/>
        </w:rPr>
      </w:pPr>
      <w:r w:rsidRPr="00E26102">
        <w:rPr>
          <w:sz w:val="24"/>
          <w:szCs w:val="24"/>
          <w:lang w:val="uk-UA"/>
        </w:rPr>
        <w:t>Визначення проблеми</w:t>
      </w:r>
    </w:p>
    <w:p w:rsidR="00C02106" w:rsidRPr="00E26102" w:rsidRDefault="00C02106" w:rsidP="00C02106">
      <w:pPr>
        <w:rPr>
          <w:sz w:val="24"/>
          <w:szCs w:val="24"/>
          <w:lang w:val="uk-UA"/>
        </w:rPr>
      </w:pPr>
    </w:p>
    <w:p w:rsidR="00C02106" w:rsidRPr="00E26102" w:rsidRDefault="00C02106" w:rsidP="00C02106">
      <w:pPr>
        <w:rPr>
          <w:sz w:val="24"/>
          <w:szCs w:val="24"/>
          <w:lang w:val="uk-UA"/>
        </w:rPr>
      </w:pPr>
      <w:r w:rsidRPr="00E26102">
        <w:rPr>
          <w:sz w:val="24"/>
          <w:szCs w:val="24"/>
          <w:lang w:val="uk-UA"/>
        </w:rPr>
        <w:t>З метою удосконалення порядку залучення суб’єктів оціночної діяльності - суб’єктів господарювання на конкурсних засадах для проведення оцінки об’єктів комунальної власності територіальної громади м. Костянтинівки  , необхідно затвердити проект рішення міської ради «Про затвердження Положення про конкурсний відбір суб’єктів оціночної діяльності».</w:t>
      </w:r>
    </w:p>
    <w:p w:rsidR="00C02106" w:rsidRPr="00E26102" w:rsidRDefault="00C02106" w:rsidP="00C02106">
      <w:pPr>
        <w:rPr>
          <w:sz w:val="24"/>
          <w:szCs w:val="24"/>
          <w:lang w:val="uk-UA"/>
        </w:rPr>
      </w:pPr>
      <w:r w:rsidRPr="00E26102">
        <w:rPr>
          <w:sz w:val="24"/>
          <w:szCs w:val="24"/>
          <w:lang w:val="uk-UA"/>
        </w:rPr>
        <w:t xml:space="preserve">Необхідність проведення конкурсного відбору суб’єктів оціночної діяльності обумовлено пунктом 18 Методики оцінки майна, затвердженої постановою Кабінету Міністрів України від 10.12.2003 № 1891 ( в редакції постанови Кабінету міністрів України від 25.11.2015 № 1033). </w:t>
      </w:r>
    </w:p>
    <w:p w:rsidR="00C02106" w:rsidRPr="00E26102" w:rsidRDefault="00C02106" w:rsidP="00C02106">
      <w:pPr>
        <w:rPr>
          <w:sz w:val="24"/>
          <w:szCs w:val="24"/>
          <w:lang w:val="uk-UA"/>
        </w:rPr>
      </w:pPr>
    </w:p>
    <w:p w:rsidR="00C02106" w:rsidRPr="00E26102" w:rsidRDefault="00C02106" w:rsidP="00C02106">
      <w:pPr>
        <w:rPr>
          <w:sz w:val="24"/>
          <w:szCs w:val="24"/>
          <w:lang w:val="uk-UA"/>
        </w:rPr>
      </w:pPr>
    </w:p>
    <w:p w:rsidR="00C02106" w:rsidRPr="00E26102" w:rsidRDefault="00C02106" w:rsidP="00C02106">
      <w:pPr>
        <w:rPr>
          <w:sz w:val="24"/>
          <w:szCs w:val="24"/>
          <w:lang w:val="uk-UA"/>
        </w:rPr>
      </w:pPr>
      <w:r w:rsidRPr="00E26102">
        <w:rPr>
          <w:i/>
          <w:iCs/>
          <w:sz w:val="24"/>
          <w:szCs w:val="24"/>
          <w:lang w:val="uk-UA"/>
        </w:rPr>
        <w:t>Основні групи, на які зазначена проблема справляє вплив є:</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3285"/>
        <w:gridCol w:w="3285"/>
        <w:gridCol w:w="3285"/>
      </w:tblGrid>
      <w:tr w:rsidR="00C02106" w:rsidRPr="00E26102" w:rsidTr="00970DE8">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Групи (підгрупи)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Так</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Ні</w:t>
            </w:r>
          </w:p>
        </w:tc>
      </w:tr>
      <w:tr w:rsidR="00C02106" w:rsidRPr="00E26102" w:rsidTr="00970DE8">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Громадяни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w:t>
            </w:r>
          </w:p>
        </w:tc>
      </w:tr>
      <w:tr w:rsidR="00C02106" w:rsidRPr="00E26102" w:rsidTr="00970DE8">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Держава</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w:t>
            </w:r>
          </w:p>
        </w:tc>
      </w:tr>
      <w:tr w:rsidR="00C02106" w:rsidRPr="00E26102" w:rsidTr="00970DE8">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Суб’єкти господарювання,</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w:t>
            </w:r>
          </w:p>
        </w:tc>
      </w:tr>
    </w:tbl>
    <w:p w:rsidR="00C02106" w:rsidRPr="00E26102" w:rsidRDefault="00C02106" w:rsidP="00C02106">
      <w:pPr>
        <w:rPr>
          <w:sz w:val="24"/>
          <w:szCs w:val="24"/>
          <w:lang w:val="uk-UA"/>
        </w:rPr>
      </w:pPr>
    </w:p>
    <w:p w:rsidR="00C02106" w:rsidRPr="00E26102" w:rsidRDefault="00C02106" w:rsidP="00C02106">
      <w:pPr>
        <w:jc w:val="center"/>
        <w:rPr>
          <w:sz w:val="24"/>
          <w:szCs w:val="24"/>
          <w:lang w:val="uk-UA"/>
        </w:rPr>
      </w:pPr>
      <w:r w:rsidRPr="00E26102">
        <w:rPr>
          <w:sz w:val="24"/>
          <w:szCs w:val="24"/>
          <w:lang w:val="uk-UA"/>
        </w:rPr>
        <w:t xml:space="preserve">2. </w:t>
      </w:r>
      <w:r w:rsidRPr="00E26102">
        <w:rPr>
          <w:bCs/>
          <w:sz w:val="24"/>
          <w:szCs w:val="24"/>
          <w:lang w:val="uk-UA"/>
        </w:rPr>
        <w:t>Цілі державного регулювання</w:t>
      </w:r>
    </w:p>
    <w:p w:rsidR="00C02106" w:rsidRPr="00E26102" w:rsidRDefault="00C02106" w:rsidP="00C02106">
      <w:pPr>
        <w:rPr>
          <w:sz w:val="24"/>
          <w:szCs w:val="24"/>
          <w:lang w:val="uk-UA"/>
        </w:rPr>
      </w:pPr>
      <w:r w:rsidRPr="00E26102">
        <w:rPr>
          <w:sz w:val="24"/>
          <w:szCs w:val="24"/>
          <w:lang w:val="uk-UA"/>
        </w:rPr>
        <w:t>         Основною метою  прийняття  відповідного рішення  є відкритість і прозорість відбору суб’єктів оціночної  діяльності ,надання суб’єктам господарювання рівних можливостей у здійснення їх професійної діяльності, виконання  вимог пункту 18 Методики оцінки майна, затвердженої постановою Кабінету Міністрів України від 10.12.2003 № 1891 (в редакції постанови Кабінету міністрів України від 25.11.2015 № 1033), статті 10 Закону України «Про оцінку майна,майнових прав та професійну оціночну діяльність в Україні» від 12.07.2001 № 2658-ІІІ (із змінами) та удосконалення порядку залучення суб’єктів оціночної діяльності - суб’єктів господарювання на конкурсних засадах для проведення оцінки об’єктів комунальної власності територіальної громади м. Костянтинівки .</w:t>
      </w:r>
    </w:p>
    <w:p w:rsidR="00C02106" w:rsidRPr="00E26102" w:rsidRDefault="00C02106" w:rsidP="00C02106">
      <w:pPr>
        <w:rPr>
          <w:sz w:val="24"/>
          <w:szCs w:val="24"/>
          <w:lang w:val="uk-UA"/>
        </w:rPr>
      </w:pPr>
    </w:p>
    <w:p w:rsidR="00C02106" w:rsidRPr="00E26102" w:rsidRDefault="00C02106" w:rsidP="00C02106">
      <w:pPr>
        <w:jc w:val="center"/>
        <w:rPr>
          <w:sz w:val="24"/>
          <w:szCs w:val="24"/>
          <w:lang w:val="uk-UA"/>
        </w:rPr>
      </w:pPr>
      <w:r w:rsidRPr="00E26102">
        <w:rPr>
          <w:bCs/>
          <w:sz w:val="24"/>
          <w:szCs w:val="24"/>
          <w:lang w:val="uk-UA"/>
        </w:rPr>
        <w:t>3. Визначення та оцінка альтернативних способів досягнення цілей</w:t>
      </w:r>
    </w:p>
    <w:p w:rsidR="00C02106" w:rsidRPr="00E26102" w:rsidRDefault="00C02106" w:rsidP="00C02106">
      <w:pPr>
        <w:rPr>
          <w:sz w:val="24"/>
          <w:szCs w:val="24"/>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100"/>
        <w:gridCol w:w="7755"/>
      </w:tblGrid>
      <w:tr w:rsidR="00C02106" w:rsidRPr="00E26102" w:rsidTr="00970DE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1</w:t>
            </w:r>
          </w:p>
        </w:tc>
        <w:tc>
          <w:tcPr>
            <w:tcW w:w="775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Неприйняття даного регуляторного акту (відмова від регулювання).  Така альтернатива є неприпустимою.</w:t>
            </w:r>
          </w:p>
        </w:tc>
      </w:tr>
      <w:tr w:rsidR="00C02106" w:rsidRPr="00C02106" w:rsidTr="00970DE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2</w:t>
            </w:r>
          </w:p>
        </w:tc>
        <w:tc>
          <w:tcPr>
            <w:tcW w:w="775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Здійснювати конкурсний відбір суб’єктів оціночної діяльності згідно із Положенням про конкурсний відбір суб’єктів оціночної діяльності, затвердженим наказом ФДМУ від 31.12.2015 № 2075.Є малоефективним.</w:t>
            </w:r>
          </w:p>
        </w:tc>
      </w:tr>
      <w:tr w:rsidR="00C02106" w:rsidRPr="00E26102" w:rsidTr="00970DE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3</w:t>
            </w:r>
          </w:p>
        </w:tc>
        <w:tc>
          <w:tcPr>
            <w:tcW w:w="775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Прийняття Костянтинівською міською радою рішення «Про затвердження Положення про конкурсний відбір суб’єктів оціночної діяльності».</w:t>
            </w:r>
          </w:p>
          <w:p w:rsidR="00C02106" w:rsidRPr="00E26102" w:rsidRDefault="00C02106" w:rsidP="00970DE8">
            <w:pPr>
              <w:rPr>
                <w:sz w:val="24"/>
                <w:szCs w:val="24"/>
                <w:lang w:val="uk-UA"/>
              </w:rPr>
            </w:pPr>
            <w:r w:rsidRPr="00E26102">
              <w:rPr>
                <w:sz w:val="24"/>
                <w:szCs w:val="24"/>
                <w:lang w:val="uk-UA"/>
              </w:rPr>
              <w:t>Забезпечує досягнення цілей державного регулювання; повністю відповідає потребам у вирішенні проблеми; упорядковує відносини між Костянтинівською міською радою (замовником) та суб’єктами господарювання в частині відбору суб’єктів оціночної діяльності для проведення незалежної оцінки комунального майна.</w:t>
            </w:r>
          </w:p>
        </w:tc>
      </w:tr>
    </w:tbl>
    <w:p w:rsidR="00C02106" w:rsidRPr="00E26102" w:rsidRDefault="00C02106" w:rsidP="00C02106">
      <w:pPr>
        <w:jc w:val="center"/>
        <w:rPr>
          <w:bCs/>
          <w:sz w:val="24"/>
          <w:szCs w:val="24"/>
          <w:lang w:val="uk-UA"/>
        </w:rPr>
      </w:pPr>
      <w:r w:rsidRPr="00E26102">
        <w:rPr>
          <w:bCs/>
          <w:sz w:val="24"/>
          <w:szCs w:val="24"/>
          <w:lang w:val="uk-UA"/>
        </w:rPr>
        <w:t>Оцінка впливу на сферу інтересів держави</w:t>
      </w:r>
    </w:p>
    <w:p w:rsidR="00C02106" w:rsidRPr="00E26102" w:rsidRDefault="00C02106" w:rsidP="00C02106">
      <w:pPr>
        <w:rPr>
          <w:sz w:val="24"/>
          <w:szCs w:val="24"/>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100"/>
        <w:gridCol w:w="4470"/>
        <w:gridCol w:w="3285"/>
      </w:tblGrid>
      <w:tr w:rsidR="00C02106" w:rsidRPr="00E26102" w:rsidTr="00970DE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  </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Вигоди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Витрати</w:t>
            </w:r>
          </w:p>
        </w:tc>
      </w:tr>
      <w:tr w:rsidR="00C02106" w:rsidRPr="00E26102" w:rsidTr="00970DE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1</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Відсутні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Зменшення надходжень до місцевого бюджету від приватизації комунального майна.</w:t>
            </w:r>
          </w:p>
        </w:tc>
      </w:tr>
      <w:tr w:rsidR="00C02106" w:rsidRPr="00E26102" w:rsidTr="00970DE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2</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Дотримання чинного законодавства</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proofErr w:type="spellStart"/>
            <w:r w:rsidRPr="00E26102">
              <w:rPr>
                <w:sz w:val="24"/>
                <w:szCs w:val="24"/>
                <w:lang w:val="uk-UA"/>
              </w:rPr>
              <w:t>Вітсутні</w:t>
            </w:r>
            <w:proofErr w:type="spellEnd"/>
          </w:p>
        </w:tc>
      </w:tr>
      <w:tr w:rsidR="00C02106" w:rsidRPr="00E26102" w:rsidTr="00970DE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3</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1.Дотримання чинного законодавства.</w:t>
            </w:r>
          </w:p>
          <w:p w:rsidR="00C02106" w:rsidRPr="00E26102" w:rsidRDefault="00C02106" w:rsidP="00970DE8">
            <w:pPr>
              <w:rPr>
                <w:sz w:val="24"/>
                <w:szCs w:val="24"/>
                <w:lang w:val="uk-UA"/>
              </w:rPr>
            </w:pPr>
            <w:r w:rsidRPr="00E26102">
              <w:rPr>
                <w:sz w:val="24"/>
                <w:szCs w:val="24"/>
                <w:lang w:val="uk-UA"/>
              </w:rPr>
              <w:t xml:space="preserve">2. Усунення корупційних можливостей під </w:t>
            </w:r>
            <w:r w:rsidRPr="00E26102">
              <w:rPr>
                <w:sz w:val="24"/>
                <w:szCs w:val="24"/>
                <w:lang w:val="uk-UA"/>
              </w:rPr>
              <w:lastRenderedPageBreak/>
              <w:t>час конкурсного відбору суб’єктів оціночної діяльності</w:t>
            </w:r>
            <w:r w:rsidRPr="00E26102">
              <w:rPr>
                <w:i/>
                <w:iCs/>
                <w:sz w:val="24"/>
                <w:szCs w:val="24"/>
                <w:lang w:val="uk-UA"/>
              </w:rPr>
              <w:t>.</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lastRenderedPageBreak/>
              <w:t>Відсутні</w:t>
            </w:r>
          </w:p>
          <w:p w:rsidR="00C02106" w:rsidRPr="00E26102" w:rsidRDefault="00C02106" w:rsidP="00970DE8">
            <w:pPr>
              <w:rPr>
                <w:sz w:val="24"/>
                <w:szCs w:val="24"/>
                <w:lang w:val="uk-UA"/>
              </w:rPr>
            </w:pPr>
          </w:p>
        </w:tc>
      </w:tr>
    </w:tbl>
    <w:p w:rsidR="00C02106" w:rsidRPr="00E26102" w:rsidRDefault="00C02106" w:rsidP="00C02106">
      <w:pPr>
        <w:rPr>
          <w:sz w:val="24"/>
          <w:szCs w:val="24"/>
          <w:lang w:val="uk-UA"/>
        </w:rPr>
      </w:pPr>
      <w:r w:rsidRPr="00E26102">
        <w:rPr>
          <w:sz w:val="24"/>
          <w:szCs w:val="24"/>
          <w:lang w:val="uk-UA"/>
        </w:rPr>
        <w:lastRenderedPageBreak/>
        <w:t> </w:t>
      </w:r>
    </w:p>
    <w:p w:rsidR="00C02106" w:rsidRPr="00E26102" w:rsidRDefault="00C02106" w:rsidP="00C02106">
      <w:pPr>
        <w:jc w:val="center"/>
        <w:rPr>
          <w:sz w:val="24"/>
          <w:szCs w:val="24"/>
          <w:lang w:val="uk-UA"/>
        </w:rPr>
      </w:pPr>
      <w:r w:rsidRPr="00E26102">
        <w:rPr>
          <w:bCs/>
          <w:sz w:val="24"/>
          <w:szCs w:val="24"/>
          <w:lang w:val="uk-UA"/>
        </w:rPr>
        <w:t>Оцінка впливу на сферу інтересів громадян</w:t>
      </w:r>
    </w:p>
    <w:p w:rsidR="00C02106" w:rsidRPr="00E26102" w:rsidRDefault="00C02106" w:rsidP="00C02106">
      <w:pPr>
        <w:rPr>
          <w:sz w:val="24"/>
          <w:szCs w:val="24"/>
          <w:lang w:val="uk-UA"/>
        </w:rPr>
      </w:pPr>
      <w:r w:rsidRPr="00E26102">
        <w:rPr>
          <w:sz w:val="24"/>
          <w:szCs w:val="24"/>
          <w:lang w:val="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235"/>
        <w:gridCol w:w="4335"/>
        <w:gridCol w:w="3285"/>
      </w:tblGrid>
      <w:tr w:rsidR="00C02106" w:rsidRPr="00E26102"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 </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Вигоди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Витрати</w:t>
            </w:r>
          </w:p>
        </w:tc>
      </w:tr>
      <w:tr w:rsidR="00C02106" w:rsidRPr="00E26102"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1</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Відсутні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Відсутність коштів для вирішення соціально-економічних проблем громади міста за рахунок збільшення надходжень до бюджету.</w:t>
            </w:r>
          </w:p>
        </w:tc>
      </w:tr>
      <w:tr w:rsidR="00C02106" w:rsidRPr="00E26102"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2</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p>
          <w:p w:rsidR="00C02106" w:rsidRPr="00E26102" w:rsidRDefault="00C02106" w:rsidP="00970DE8">
            <w:pPr>
              <w:rPr>
                <w:sz w:val="24"/>
                <w:szCs w:val="24"/>
                <w:lang w:val="uk-UA"/>
              </w:rPr>
            </w:pPr>
            <w:r w:rsidRPr="00E26102">
              <w:rPr>
                <w:sz w:val="24"/>
                <w:szCs w:val="24"/>
                <w:lang w:val="uk-UA"/>
              </w:rPr>
              <w:t>Відсутні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Відсутні</w:t>
            </w:r>
          </w:p>
        </w:tc>
      </w:tr>
      <w:tr w:rsidR="00C02106" w:rsidRPr="00E26102"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3</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Отримання прозорої та чіткої інформації щодо конкурсного відбору суб’єктів оціночної діяльності для проведення оцінки комунального майна територіальної громади</w:t>
            </w:r>
          </w:p>
          <w:p w:rsidR="00C02106" w:rsidRPr="00E26102" w:rsidRDefault="00C02106" w:rsidP="00970DE8">
            <w:pPr>
              <w:rPr>
                <w:sz w:val="24"/>
                <w:szCs w:val="24"/>
                <w:lang w:val="uk-UA"/>
              </w:rPr>
            </w:pP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p>
          <w:p w:rsidR="00C02106" w:rsidRPr="00E26102" w:rsidRDefault="00C02106" w:rsidP="00970DE8">
            <w:pPr>
              <w:rPr>
                <w:sz w:val="24"/>
                <w:szCs w:val="24"/>
                <w:lang w:val="uk-UA"/>
              </w:rPr>
            </w:pPr>
            <w:r w:rsidRPr="00E26102">
              <w:rPr>
                <w:sz w:val="24"/>
                <w:szCs w:val="24"/>
                <w:lang w:val="uk-UA"/>
              </w:rPr>
              <w:t>Відсутні</w:t>
            </w:r>
          </w:p>
        </w:tc>
      </w:tr>
    </w:tbl>
    <w:p w:rsidR="00C02106" w:rsidRPr="00E26102" w:rsidRDefault="00C02106" w:rsidP="00C02106">
      <w:pPr>
        <w:rPr>
          <w:sz w:val="24"/>
          <w:szCs w:val="24"/>
          <w:lang w:val="uk-UA"/>
        </w:rPr>
      </w:pPr>
      <w:r w:rsidRPr="00E26102">
        <w:rPr>
          <w:sz w:val="24"/>
          <w:szCs w:val="24"/>
          <w:lang w:val="uk-UA"/>
        </w:rPr>
        <w:t> </w:t>
      </w:r>
    </w:p>
    <w:p w:rsidR="00C02106" w:rsidRPr="00E26102" w:rsidRDefault="00C02106" w:rsidP="00C02106">
      <w:pPr>
        <w:jc w:val="center"/>
        <w:rPr>
          <w:sz w:val="24"/>
          <w:szCs w:val="24"/>
          <w:lang w:val="uk-UA"/>
        </w:rPr>
      </w:pPr>
      <w:r w:rsidRPr="00E26102">
        <w:rPr>
          <w:bCs/>
          <w:sz w:val="24"/>
          <w:szCs w:val="24"/>
          <w:lang w:val="uk-UA"/>
        </w:rPr>
        <w:t>Оцінка впливу на сферу інтересів суб’єктів господарювання</w:t>
      </w:r>
    </w:p>
    <w:p w:rsidR="00C02106" w:rsidRPr="00E26102" w:rsidRDefault="00C02106" w:rsidP="00C02106">
      <w:pPr>
        <w:rPr>
          <w:sz w:val="24"/>
          <w:szCs w:val="24"/>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100"/>
        <w:gridCol w:w="4470"/>
        <w:gridCol w:w="3285"/>
      </w:tblGrid>
      <w:tr w:rsidR="00C02106" w:rsidRPr="00E26102" w:rsidTr="00970DE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 </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Вигоди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Витрати</w:t>
            </w:r>
          </w:p>
        </w:tc>
      </w:tr>
      <w:tr w:rsidR="00C02106" w:rsidRPr="00E26102" w:rsidTr="00970DE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1</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Відсутні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Відсутні</w:t>
            </w:r>
          </w:p>
        </w:tc>
      </w:tr>
      <w:tr w:rsidR="00C02106" w:rsidRPr="00E26102" w:rsidTr="00970DE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2</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Встановлення чіткого механізму проведення конкурсного відбору суб’єктів оціночної діяльності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Відсутні</w:t>
            </w:r>
          </w:p>
        </w:tc>
      </w:tr>
      <w:tr w:rsidR="00C02106" w:rsidRPr="00E26102" w:rsidTr="00970DE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3</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Забезпечення прозорості та відкритості при взаємовідносинах між міською радою та суб’єктами господарської діяльності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p>
          <w:p w:rsidR="00C02106" w:rsidRPr="00E26102" w:rsidRDefault="00C02106" w:rsidP="00970DE8">
            <w:pPr>
              <w:rPr>
                <w:sz w:val="24"/>
                <w:szCs w:val="24"/>
                <w:lang w:val="uk-UA"/>
              </w:rPr>
            </w:pPr>
            <w:r w:rsidRPr="00E26102">
              <w:rPr>
                <w:sz w:val="24"/>
                <w:szCs w:val="24"/>
                <w:lang w:val="uk-UA"/>
              </w:rPr>
              <w:t>Відсутні</w:t>
            </w:r>
          </w:p>
        </w:tc>
      </w:tr>
    </w:tbl>
    <w:p w:rsidR="00C02106" w:rsidRPr="00E26102" w:rsidRDefault="00C02106" w:rsidP="00C02106">
      <w:pPr>
        <w:rPr>
          <w:sz w:val="24"/>
          <w:szCs w:val="24"/>
          <w:lang w:val="uk-UA"/>
        </w:rPr>
      </w:pPr>
      <w:r w:rsidRPr="00E26102">
        <w:rPr>
          <w:sz w:val="24"/>
          <w:szCs w:val="24"/>
          <w:lang w:val="uk-UA"/>
        </w:rPr>
        <w:t>Оцінюючи визначені альтернативи слід зазначити, що перша альтернатива не є прийнятною, оскільки  веде до порушень норм діючого законодавства та може привести до зменшення надходжень до міського бюджету від приватизації комунального майна. Друга альтернатива використовується Фондом державного майна та його регіональними відділеннями для конкурсного відбору суб’єктів оціночної діяльності для здійснення оцінки державного майна або за зверненнями органів державної влади або органів місцевого самоврядування. Прийняття третьої  альтернативи дасть можливість досягти цілей державного регулювання в найкоротший термін на виконання законодавчих норм.</w:t>
      </w:r>
    </w:p>
    <w:p w:rsidR="00C02106" w:rsidRPr="00E26102" w:rsidRDefault="00C02106" w:rsidP="00C02106">
      <w:pPr>
        <w:jc w:val="center"/>
        <w:rPr>
          <w:sz w:val="24"/>
          <w:szCs w:val="24"/>
          <w:lang w:val="uk-UA"/>
        </w:rPr>
      </w:pPr>
      <w:r w:rsidRPr="00E26102">
        <w:rPr>
          <w:bCs/>
          <w:sz w:val="24"/>
          <w:szCs w:val="24"/>
          <w:lang w:val="uk-UA"/>
        </w:rPr>
        <w:t>Вибір найбільш оптимального альтернативного способу досягнення цілей.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3375"/>
        <w:gridCol w:w="2835"/>
        <w:gridCol w:w="3645"/>
      </w:tblGrid>
      <w:tr w:rsidR="00C02106" w:rsidRPr="00E26102" w:rsidTr="00970DE8">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Рейтинг результативності  (досягнення цілей при вирішенні проблеми</w:t>
            </w:r>
            <w:r w:rsidRPr="00E26102">
              <w:rPr>
                <w:sz w:val="24"/>
                <w:szCs w:val="24"/>
                <w:lang w:val="uk-UA"/>
              </w:rPr>
              <w:t>)</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Бал результативності (за</w:t>
            </w:r>
          </w:p>
          <w:p w:rsidR="00C02106" w:rsidRPr="00E26102" w:rsidRDefault="00C02106" w:rsidP="00970DE8">
            <w:pPr>
              <w:rPr>
                <w:sz w:val="24"/>
                <w:szCs w:val="24"/>
                <w:lang w:val="uk-UA"/>
              </w:rPr>
            </w:pPr>
            <w:r w:rsidRPr="00E26102">
              <w:rPr>
                <w:bCs/>
                <w:sz w:val="24"/>
                <w:szCs w:val="24"/>
                <w:lang w:val="uk-UA"/>
              </w:rPr>
              <w:t>4-х бальною системою оцінки)</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Коментарі щодо присвоєння відповідного балу</w:t>
            </w:r>
          </w:p>
        </w:tc>
      </w:tr>
      <w:tr w:rsidR="00C02106" w:rsidRPr="00E26102" w:rsidTr="00970DE8">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1</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порушення діючого законодавства, зменшення надходжень до місцевого бюджету.</w:t>
            </w:r>
          </w:p>
        </w:tc>
      </w:tr>
      <w:tr w:rsidR="00C02106" w:rsidRPr="00E26102" w:rsidTr="00970DE8">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3</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p>
        </w:tc>
      </w:tr>
      <w:tr w:rsidR="00C02106" w:rsidRPr="00E26102" w:rsidTr="00970DE8">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3</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4</w:t>
            </w:r>
          </w:p>
        </w:tc>
        <w:tc>
          <w:tcPr>
            <w:tcW w:w="364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цілі прийняття регуляторного акта можуть бути досягнуті у повній мірі (проблема більше існувати не буде: виконання вимог законодавства та збільшення надходжень до бюджету).</w:t>
            </w:r>
          </w:p>
        </w:tc>
      </w:tr>
    </w:tbl>
    <w:p w:rsidR="00C02106" w:rsidRPr="00E26102" w:rsidRDefault="00C02106" w:rsidP="00C02106">
      <w:pPr>
        <w:rPr>
          <w:sz w:val="24"/>
          <w:szCs w:val="24"/>
          <w:lang w:val="uk-UA"/>
        </w:rPr>
      </w:pPr>
      <w:r w:rsidRPr="00E26102">
        <w:rPr>
          <w:sz w:val="24"/>
          <w:szCs w:val="24"/>
          <w:lang w:val="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235"/>
        <w:gridCol w:w="2265"/>
        <w:gridCol w:w="2265"/>
        <w:gridCol w:w="3090"/>
      </w:tblGrid>
      <w:tr w:rsidR="00C02106" w:rsidRPr="00C02106"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Рейтинг результативності</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Вигоди (підсумок)</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Витрати (підсумок)</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Обґрунтування відповідного місця альтернативи із рейтингу</w:t>
            </w:r>
          </w:p>
        </w:tc>
      </w:tr>
      <w:tr w:rsidR="00C02106" w:rsidRPr="00E26102"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lastRenderedPageBreak/>
              <w:t>Альтернатива 1</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p>
          <w:p w:rsidR="00C02106" w:rsidRPr="00E26102" w:rsidRDefault="00C02106" w:rsidP="00970DE8">
            <w:pPr>
              <w:rPr>
                <w:sz w:val="24"/>
                <w:szCs w:val="24"/>
                <w:lang w:val="uk-UA"/>
              </w:rPr>
            </w:pPr>
            <w:r w:rsidRPr="00E26102">
              <w:rPr>
                <w:sz w:val="24"/>
                <w:szCs w:val="24"/>
                <w:lang w:val="uk-UA"/>
              </w:rPr>
              <w:t xml:space="preserve">Відсутні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Зменшення надходження до бюджету</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Порушення вимог діючого законодавства становить низький рейтинг даної альтернативи.</w:t>
            </w:r>
          </w:p>
        </w:tc>
      </w:tr>
      <w:tr w:rsidR="00C02106" w:rsidRPr="00E26102"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2</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Відсутні</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відсутні</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Прийняття даної  альтернативи дасть можливість вирішити визначені проблеми в більш тривалий термін</w:t>
            </w:r>
          </w:p>
          <w:p w:rsidR="00C02106" w:rsidRPr="00E26102" w:rsidRDefault="00C02106" w:rsidP="00970DE8">
            <w:pPr>
              <w:rPr>
                <w:sz w:val="24"/>
                <w:szCs w:val="24"/>
                <w:lang w:val="uk-UA"/>
              </w:rPr>
            </w:pPr>
          </w:p>
        </w:tc>
      </w:tr>
      <w:tr w:rsidR="00C02106" w:rsidRPr="00E26102"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3</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Відповідність вимогам чинного законодавства, збільшення надходжень до бюджету</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p>
          <w:p w:rsidR="00C02106" w:rsidRPr="00E26102" w:rsidRDefault="00C02106" w:rsidP="00970DE8">
            <w:pPr>
              <w:rPr>
                <w:sz w:val="24"/>
                <w:szCs w:val="24"/>
                <w:lang w:val="uk-UA"/>
              </w:rPr>
            </w:pPr>
            <w:r w:rsidRPr="00E26102">
              <w:rPr>
                <w:sz w:val="24"/>
                <w:szCs w:val="24"/>
                <w:lang w:val="uk-UA"/>
              </w:rPr>
              <w:t>відсутні</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Прийняття даної  альтернативи дасть можливість вирішити визначені проблеми в найбільш короткий термін, з найменшими витратами</w:t>
            </w:r>
          </w:p>
        </w:tc>
      </w:tr>
    </w:tbl>
    <w:p w:rsidR="00C02106" w:rsidRPr="00E26102" w:rsidRDefault="00C02106" w:rsidP="00C02106">
      <w:pPr>
        <w:rPr>
          <w:sz w:val="24"/>
          <w:szCs w:val="24"/>
          <w:lang w:val="uk-UA"/>
        </w:rPr>
      </w:pPr>
      <w:r w:rsidRPr="00E26102">
        <w:rPr>
          <w:sz w:val="24"/>
          <w:szCs w:val="24"/>
          <w:lang w:val="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235"/>
        <w:gridCol w:w="4335"/>
        <w:gridCol w:w="3285"/>
      </w:tblGrid>
      <w:tr w:rsidR="00C02106" w:rsidRPr="00E26102"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Рейтинг</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Аргументи щодо переваги обраної альтернативи /причини відмови від альтернативи</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Оцінка ризику зовнішніх чинників на дію запропонованого регуляторного акта</w:t>
            </w:r>
          </w:p>
        </w:tc>
      </w:tr>
      <w:tr w:rsidR="00C02106" w:rsidRPr="00E26102"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1</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Порушення діючого законодавства, зменшення надходжень до місцевого бюджету</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Зміни в діючому законодавстві</w:t>
            </w:r>
          </w:p>
        </w:tc>
      </w:tr>
      <w:tr w:rsidR="00C02106" w:rsidRPr="00E26102"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2</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Відповідність чинному законодавству, але вирішення проблеми в більш тривалий час.</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Зміни в діючому законодавстві</w:t>
            </w:r>
          </w:p>
        </w:tc>
      </w:tr>
      <w:tr w:rsidR="00C02106" w:rsidRPr="00E26102" w:rsidTr="00970DE8">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bCs/>
                <w:sz w:val="24"/>
                <w:szCs w:val="24"/>
                <w:lang w:val="uk-UA"/>
              </w:rPr>
              <w:t>Альтернатива 3</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Відповідність чинному законодавству; прозорість процедури; рішення зазначеної проблеми в найкоротший строк</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C02106" w:rsidRPr="00E26102" w:rsidRDefault="00C02106" w:rsidP="00970DE8">
            <w:pPr>
              <w:rPr>
                <w:sz w:val="24"/>
                <w:szCs w:val="24"/>
                <w:lang w:val="uk-UA"/>
              </w:rPr>
            </w:pPr>
            <w:r w:rsidRPr="00E26102">
              <w:rPr>
                <w:sz w:val="24"/>
                <w:szCs w:val="24"/>
                <w:lang w:val="uk-UA"/>
              </w:rPr>
              <w:t>Зміни в діючому законодавстві</w:t>
            </w:r>
          </w:p>
        </w:tc>
      </w:tr>
    </w:tbl>
    <w:p w:rsidR="00C02106" w:rsidRPr="00E26102" w:rsidRDefault="00C02106" w:rsidP="00C02106">
      <w:pPr>
        <w:rPr>
          <w:sz w:val="24"/>
          <w:szCs w:val="24"/>
          <w:lang w:val="uk-UA"/>
        </w:rPr>
      </w:pPr>
      <w:r w:rsidRPr="00E26102">
        <w:rPr>
          <w:bCs/>
          <w:sz w:val="24"/>
          <w:szCs w:val="24"/>
          <w:lang w:val="uk-UA"/>
        </w:rPr>
        <w:t>5. Механізм та заходи, які забезпечать розв’язання визначеної проблеми</w:t>
      </w:r>
    </w:p>
    <w:p w:rsidR="00C02106" w:rsidRPr="00E26102" w:rsidRDefault="00C02106" w:rsidP="00C02106">
      <w:pPr>
        <w:jc w:val="both"/>
        <w:rPr>
          <w:sz w:val="24"/>
          <w:szCs w:val="24"/>
          <w:lang w:val="uk-UA"/>
        </w:rPr>
      </w:pPr>
      <w:r w:rsidRPr="00E26102">
        <w:rPr>
          <w:sz w:val="24"/>
          <w:szCs w:val="24"/>
          <w:lang w:val="uk-UA"/>
        </w:rPr>
        <w:t xml:space="preserve">         Вирішення проблеми, зазначеної у пункті 1 цього Аналізу, повинно здійснюватися шляхом прийняття рішення Костянтинівської міської ради  «Про затвердження Положення про конкурсний відбір суб’єктів оціночної </w:t>
      </w:r>
      <w:proofErr w:type="spellStart"/>
      <w:r w:rsidRPr="00E26102">
        <w:rPr>
          <w:sz w:val="24"/>
          <w:szCs w:val="24"/>
          <w:lang w:val="uk-UA"/>
        </w:rPr>
        <w:t>діяльності»“</w:t>
      </w:r>
      <w:proofErr w:type="spellEnd"/>
      <w:r w:rsidRPr="00E26102">
        <w:rPr>
          <w:bCs/>
          <w:sz w:val="24"/>
          <w:szCs w:val="24"/>
          <w:lang w:val="uk-UA"/>
        </w:rPr>
        <w:t>.</w:t>
      </w:r>
    </w:p>
    <w:p w:rsidR="00C02106" w:rsidRPr="00E26102" w:rsidRDefault="00C02106" w:rsidP="00C02106">
      <w:pPr>
        <w:jc w:val="both"/>
        <w:rPr>
          <w:sz w:val="24"/>
          <w:szCs w:val="24"/>
          <w:lang w:val="uk-UA"/>
        </w:rPr>
      </w:pPr>
      <w:r w:rsidRPr="00E26102">
        <w:rPr>
          <w:sz w:val="24"/>
          <w:szCs w:val="24"/>
          <w:lang w:val="uk-UA"/>
        </w:rPr>
        <w:t>Заходи, які повинні здійснити органи влади для впровадження зазначеного регуляторного акта:</w:t>
      </w:r>
    </w:p>
    <w:p w:rsidR="00C02106" w:rsidRPr="00E26102" w:rsidRDefault="00C02106" w:rsidP="00C02106">
      <w:pPr>
        <w:jc w:val="both"/>
        <w:rPr>
          <w:sz w:val="24"/>
          <w:szCs w:val="24"/>
          <w:lang w:val="uk-UA"/>
        </w:rPr>
      </w:pPr>
      <w:r w:rsidRPr="00E26102">
        <w:rPr>
          <w:sz w:val="24"/>
          <w:szCs w:val="24"/>
          <w:lang w:val="uk-UA"/>
        </w:rPr>
        <w:t>- підготувати відповідний проект рішення та винесення його на розгляд сесії міської ради;</w:t>
      </w:r>
    </w:p>
    <w:p w:rsidR="00C02106" w:rsidRPr="00E26102" w:rsidRDefault="00C02106" w:rsidP="00C02106">
      <w:pPr>
        <w:jc w:val="both"/>
        <w:rPr>
          <w:sz w:val="24"/>
          <w:szCs w:val="24"/>
          <w:lang w:val="uk-UA"/>
        </w:rPr>
      </w:pPr>
      <w:r w:rsidRPr="00E26102">
        <w:rPr>
          <w:sz w:val="24"/>
          <w:szCs w:val="24"/>
          <w:lang w:val="uk-UA"/>
        </w:rPr>
        <w:t>- провести аналіз витрат та вигод від прийняття даного рішення;</w:t>
      </w:r>
    </w:p>
    <w:p w:rsidR="00C02106" w:rsidRPr="00E26102" w:rsidRDefault="00C02106" w:rsidP="00C02106">
      <w:pPr>
        <w:jc w:val="both"/>
        <w:rPr>
          <w:sz w:val="24"/>
          <w:szCs w:val="24"/>
          <w:lang w:val="uk-UA"/>
        </w:rPr>
      </w:pPr>
      <w:r w:rsidRPr="00E26102">
        <w:rPr>
          <w:sz w:val="24"/>
          <w:szCs w:val="24"/>
          <w:lang w:val="uk-UA"/>
        </w:rPr>
        <w:t>- проінформувати суб’єктів підприємницької діяльності та фізичних осіб про вимоги прийнятого регуляторного акту;</w:t>
      </w:r>
    </w:p>
    <w:p w:rsidR="00C02106" w:rsidRPr="00E26102" w:rsidRDefault="00C02106" w:rsidP="00C02106">
      <w:pPr>
        <w:jc w:val="both"/>
        <w:rPr>
          <w:sz w:val="24"/>
          <w:szCs w:val="24"/>
          <w:lang w:val="uk-UA"/>
        </w:rPr>
      </w:pPr>
      <w:r w:rsidRPr="00E26102">
        <w:rPr>
          <w:sz w:val="24"/>
          <w:szCs w:val="24"/>
          <w:lang w:val="uk-UA"/>
        </w:rPr>
        <w:t>- підготувати звіт. </w:t>
      </w:r>
    </w:p>
    <w:p w:rsidR="00C02106" w:rsidRPr="00E26102" w:rsidRDefault="00C02106" w:rsidP="00C02106">
      <w:pPr>
        <w:jc w:val="both"/>
        <w:rPr>
          <w:sz w:val="24"/>
          <w:szCs w:val="24"/>
          <w:lang w:val="uk-UA"/>
        </w:rPr>
      </w:pPr>
      <w:r w:rsidRPr="00E26102">
        <w:rPr>
          <w:sz w:val="24"/>
          <w:szCs w:val="24"/>
          <w:lang w:val="uk-UA"/>
        </w:rPr>
        <w:t xml:space="preserve">         Положенням передбачено розширення переліку критеріїв відбору суб’єктів оціночної діяльності, якими керується конкурсна комісія. Основними критеріями є : досвід учасника конкурсу та оцінювачів, які будуть залучені до проведення оцінки та підписання звіту про оцінку; наявність зауважень до практичної діяльності з оцінки майна учасника конкурсу та оцінювачів; наявність на дату проведення конкурсу невиконаних договорів про виконання робіт з оцінки,укладених між учасником конкурсу та організатором конкурсного відбору; запропонована учасником конкурсу вартість виконання робіт з оцінки. У разі якщо два або більше учасників конкурсу за основними критеріями отримали однакову кількість балів,комісія застосовує додаткові критерії визначення переможця конкурсу. До додаткових критеріїв визначення переможця належать: запропонований учасником конкурсу строк виконання робіт з оцінки; наявність серед оцінювачів членів </w:t>
      </w:r>
      <w:proofErr w:type="spellStart"/>
      <w:r w:rsidRPr="00E26102">
        <w:rPr>
          <w:sz w:val="24"/>
          <w:szCs w:val="24"/>
          <w:lang w:val="uk-UA"/>
        </w:rPr>
        <w:t>саморегулівних</w:t>
      </w:r>
      <w:proofErr w:type="spellEnd"/>
      <w:r w:rsidRPr="00E26102">
        <w:rPr>
          <w:sz w:val="24"/>
          <w:szCs w:val="24"/>
          <w:lang w:val="uk-UA"/>
        </w:rPr>
        <w:t xml:space="preserve"> організацій оцінювачів; наявність документів, що підтверджують набуття кваліфікації оцінювача, виданих міжнародними організаціями та               об’єднаннями у сфері оціночної діяльності.</w:t>
      </w:r>
    </w:p>
    <w:p w:rsidR="00C02106" w:rsidRPr="00E26102" w:rsidRDefault="00C02106" w:rsidP="00C02106">
      <w:pPr>
        <w:jc w:val="both"/>
        <w:rPr>
          <w:sz w:val="24"/>
          <w:szCs w:val="24"/>
          <w:lang w:val="uk-UA"/>
        </w:rPr>
      </w:pPr>
      <w:r w:rsidRPr="00E26102">
        <w:rPr>
          <w:sz w:val="24"/>
          <w:szCs w:val="24"/>
          <w:lang w:val="uk-UA"/>
        </w:rPr>
        <w:t xml:space="preserve">       За допомогою зазначеного регуляторного акту врегулюється питання відбору суб’єкта оціночної діяльності відповідно до конкурсних вимог.</w:t>
      </w:r>
    </w:p>
    <w:p w:rsidR="00C02106" w:rsidRPr="00E26102" w:rsidRDefault="00C02106" w:rsidP="00C02106">
      <w:pPr>
        <w:jc w:val="both"/>
        <w:rPr>
          <w:sz w:val="24"/>
          <w:szCs w:val="24"/>
          <w:lang w:val="uk-UA"/>
        </w:rPr>
      </w:pPr>
      <w:r w:rsidRPr="00E26102">
        <w:rPr>
          <w:bCs/>
          <w:sz w:val="24"/>
          <w:szCs w:val="24"/>
          <w:lang w:val="uk-UA"/>
        </w:rPr>
        <w:t>6.Обґрунтування запропонованого строку дії регуляторного акта</w:t>
      </w:r>
    </w:p>
    <w:p w:rsidR="00C02106" w:rsidRPr="00E26102" w:rsidRDefault="00C02106" w:rsidP="00C02106">
      <w:pPr>
        <w:jc w:val="both"/>
        <w:rPr>
          <w:sz w:val="24"/>
          <w:szCs w:val="24"/>
          <w:lang w:val="uk-UA"/>
        </w:rPr>
      </w:pPr>
      <w:r w:rsidRPr="00E26102">
        <w:rPr>
          <w:sz w:val="24"/>
          <w:szCs w:val="24"/>
          <w:lang w:val="uk-UA"/>
        </w:rPr>
        <w:lastRenderedPageBreak/>
        <w:t> Запропонований регуляторний акт впроваджується на необмежений строк і має постійний характер з моменту набрання його чинності, з можливістю внесення до нього змін та його відміни.</w:t>
      </w:r>
    </w:p>
    <w:p w:rsidR="00C02106" w:rsidRPr="00E26102" w:rsidRDefault="00C02106" w:rsidP="00C02106">
      <w:pPr>
        <w:jc w:val="both"/>
        <w:rPr>
          <w:sz w:val="24"/>
          <w:szCs w:val="24"/>
          <w:lang w:val="uk-UA"/>
        </w:rPr>
      </w:pPr>
      <w:r w:rsidRPr="00E26102">
        <w:rPr>
          <w:sz w:val="24"/>
          <w:szCs w:val="24"/>
          <w:lang w:val="uk-UA"/>
        </w:rPr>
        <w:t> </w:t>
      </w:r>
      <w:r w:rsidRPr="00E26102">
        <w:rPr>
          <w:bCs/>
          <w:sz w:val="24"/>
          <w:szCs w:val="24"/>
          <w:lang w:val="uk-UA"/>
        </w:rPr>
        <w:t>Визначення показників результативності дії регуляторного акта</w:t>
      </w:r>
    </w:p>
    <w:p w:rsidR="00C02106" w:rsidRPr="00E26102" w:rsidRDefault="00C02106" w:rsidP="00C02106">
      <w:pPr>
        <w:jc w:val="both"/>
        <w:rPr>
          <w:sz w:val="24"/>
          <w:szCs w:val="24"/>
          <w:lang w:val="uk-UA"/>
        </w:rPr>
      </w:pPr>
      <w:r w:rsidRPr="00E26102">
        <w:rPr>
          <w:sz w:val="24"/>
          <w:szCs w:val="24"/>
          <w:lang w:val="uk-UA"/>
        </w:rPr>
        <w:t>Рівень поінформованості з основних положень регуляторного акту – високий. Цей рівень забезпечується опублікуванням регуляторного акта на сайті міської ради та ознайомлення з положеннями цього акта всіх суб’єктів підприємницької діяльності та фізичних осіб при зверненні до міської ради, а також шляхом публікацій відповідних повідомлень про підготовку та прийняття регуляторних актів в обласній газеті «Прапор Індустрії». </w:t>
      </w:r>
    </w:p>
    <w:p w:rsidR="00C02106" w:rsidRPr="00E26102" w:rsidRDefault="00C02106" w:rsidP="00C02106">
      <w:pPr>
        <w:jc w:val="both"/>
        <w:rPr>
          <w:sz w:val="24"/>
          <w:szCs w:val="24"/>
          <w:lang w:val="uk-UA"/>
        </w:rPr>
      </w:pPr>
      <w:r w:rsidRPr="00E26102">
        <w:rPr>
          <w:bCs/>
          <w:sz w:val="24"/>
          <w:szCs w:val="24"/>
          <w:lang w:val="uk-UA"/>
        </w:rPr>
        <w:t>Визначення заходів за допомогою яких здійснюється відстеження результативності дії регуляторного акта</w:t>
      </w:r>
    </w:p>
    <w:p w:rsidR="00C02106" w:rsidRPr="00E26102" w:rsidRDefault="00C02106" w:rsidP="00C02106">
      <w:pPr>
        <w:jc w:val="both"/>
        <w:rPr>
          <w:sz w:val="24"/>
          <w:szCs w:val="24"/>
          <w:lang w:val="uk-UA"/>
        </w:rPr>
      </w:pPr>
      <w:r w:rsidRPr="00E26102">
        <w:rPr>
          <w:sz w:val="24"/>
          <w:szCs w:val="24"/>
          <w:lang w:val="uk-UA"/>
        </w:rPr>
        <w:t> Відстеження  результативності  рішення  Костянтинівської міської ради здійснюватиметься у  відповідності до статті 10 Закону України "Про засади регуляторної політики у сфері господарської діяльності".</w:t>
      </w:r>
    </w:p>
    <w:p w:rsidR="00C02106" w:rsidRPr="00E26102" w:rsidRDefault="00C02106" w:rsidP="00C02106">
      <w:pPr>
        <w:jc w:val="both"/>
        <w:rPr>
          <w:sz w:val="24"/>
          <w:szCs w:val="24"/>
          <w:lang w:val="uk-UA"/>
        </w:rPr>
      </w:pPr>
      <w:r w:rsidRPr="00E26102">
        <w:rPr>
          <w:sz w:val="24"/>
          <w:szCs w:val="24"/>
          <w:lang w:val="uk-UA"/>
        </w:rPr>
        <w:t>Базове відстеження здійснюється до дня набрання чинності регуляторним актом з метою оцінки стану суспільних відносин, на врегулювання яких спрямована дія акта.</w:t>
      </w:r>
    </w:p>
    <w:p w:rsidR="00C02106" w:rsidRPr="00E26102" w:rsidRDefault="00C02106" w:rsidP="00C02106">
      <w:pPr>
        <w:jc w:val="both"/>
        <w:rPr>
          <w:sz w:val="24"/>
          <w:szCs w:val="24"/>
          <w:lang w:val="uk-UA"/>
        </w:rPr>
      </w:pPr>
      <w:r w:rsidRPr="00E26102">
        <w:rPr>
          <w:sz w:val="24"/>
          <w:szCs w:val="24"/>
          <w:lang w:val="uk-UA"/>
        </w:rPr>
        <w:t>Метод проведення відстеження результативності – статистичний.</w:t>
      </w:r>
    </w:p>
    <w:p w:rsidR="00C02106" w:rsidRPr="00E26102" w:rsidRDefault="00C02106" w:rsidP="00C02106">
      <w:pPr>
        <w:jc w:val="both"/>
        <w:rPr>
          <w:sz w:val="24"/>
          <w:szCs w:val="24"/>
          <w:lang w:val="uk-UA"/>
        </w:rPr>
      </w:pPr>
      <w:r w:rsidRPr="00E26102">
        <w:rPr>
          <w:sz w:val="24"/>
          <w:szCs w:val="24"/>
          <w:lang w:val="uk-UA"/>
        </w:rPr>
        <w:t>Повторне відстеження здійснюється через рік після набрання чинності регуляторним актом , але не пізніше ніж через два роки .</w:t>
      </w:r>
    </w:p>
    <w:p w:rsidR="00C02106" w:rsidRPr="00E26102" w:rsidRDefault="00C02106" w:rsidP="00C02106">
      <w:pPr>
        <w:jc w:val="both"/>
        <w:rPr>
          <w:sz w:val="24"/>
          <w:szCs w:val="24"/>
          <w:lang w:val="uk-UA"/>
        </w:rPr>
      </w:pPr>
      <w:r w:rsidRPr="00E26102">
        <w:rPr>
          <w:sz w:val="24"/>
          <w:szCs w:val="24"/>
          <w:lang w:val="uk-UA"/>
        </w:rPr>
        <w:t>Періодичне відстеження результативності регуляторного акту здійснюється кожні три роки, починаючи з дня виконання заходів із повторного відстеження.</w:t>
      </w:r>
    </w:p>
    <w:p w:rsidR="00C02106" w:rsidRPr="00E26102" w:rsidRDefault="00C02106" w:rsidP="00C02106">
      <w:pPr>
        <w:jc w:val="both"/>
        <w:rPr>
          <w:sz w:val="24"/>
          <w:szCs w:val="24"/>
          <w:lang w:val="uk-UA"/>
        </w:rPr>
      </w:pPr>
    </w:p>
    <w:p w:rsidR="00C02106" w:rsidRPr="00E26102" w:rsidRDefault="00C02106" w:rsidP="00C02106">
      <w:pPr>
        <w:jc w:val="both"/>
        <w:rPr>
          <w:sz w:val="24"/>
          <w:szCs w:val="24"/>
          <w:lang w:val="uk-UA"/>
        </w:rPr>
      </w:pPr>
      <w:r w:rsidRPr="00E26102">
        <w:rPr>
          <w:sz w:val="24"/>
          <w:szCs w:val="24"/>
          <w:lang w:val="uk-UA"/>
        </w:rPr>
        <w:t>Підготовлено: Управлінням комунального господарства</w:t>
      </w:r>
    </w:p>
    <w:p w:rsidR="00C02106" w:rsidRPr="00E26102" w:rsidRDefault="00C02106" w:rsidP="00C02106">
      <w:pPr>
        <w:jc w:val="both"/>
        <w:rPr>
          <w:sz w:val="24"/>
          <w:szCs w:val="24"/>
          <w:lang w:val="uk-UA"/>
        </w:rPr>
      </w:pPr>
    </w:p>
    <w:p w:rsidR="00C02106" w:rsidRPr="00E26102" w:rsidRDefault="00C02106" w:rsidP="00C02106">
      <w:pPr>
        <w:jc w:val="both"/>
        <w:rPr>
          <w:sz w:val="24"/>
          <w:szCs w:val="24"/>
          <w:lang w:val="uk-UA"/>
        </w:rPr>
      </w:pPr>
      <w:r w:rsidRPr="00E26102">
        <w:rPr>
          <w:sz w:val="24"/>
          <w:szCs w:val="24"/>
          <w:lang w:val="uk-UA"/>
        </w:rPr>
        <w:t xml:space="preserve">Начальник управління </w:t>
      </w:r>
    </w:p>
    <w:p w:rsidR="00C02106" w:rsidRPr="00E26102" w:rsidRDefault="00C02106" w:rsidP="00C02106">
      <w:pPr>
        <w:jc w:val="both"/>
        <w:rPr>
          <w:sz w:val="24"/>
          <w:szCs w:val="24"/>
          <w:lang w:val="uk-UA"/>
        </w:rPr>
      </w:pPr>
      <w:r w:rsidRPr="00E26102">
        <w:rPr>
          <w:sz w:val="24"/>
          <w:szCs w:val="24"/>
          <w:lang w:val="uk-UA"/>
        </w:rPr>
        <w:t>комунального господарства</w:t>
      </w:r>
      <w:r w:rsidRPr="00E26102">
        <w:rPr>
          <w:sz w:val="24"/>
          <w:szCs w:val="24"/>
          <w:lang w:val="uk-UA"/>
        </w:rPr>
        <w:tab/>
      </w:r>
      <w:r w:rsidRPr="00E26102">
        <w:rPr>
          <w:sz w:val="24"/>
          <w:szCs w:val="24"/>
          <w:lang w:val="uk-UA"/>
        </w:rPr>
        <w:tab/>
        <w:t>Д.Г.Заварзін</w:t>
      </w:r>
    </w:p>
    <w:p w:rsidR="00C02106" w:rsidRPr="00E26102" w:rsidRDefault="00C02106" w:rsidP="00C02106">
      <w:pPr>
        <w:rPr>
          <w:sz w:val="24"/>
          <w:szCs w:val="24"/>
          <w:lang w:val="uk-UA"/>
        </w:rPr>
      </w:pPr>
    </w:p>
    <w:p w:rsidR="00C02106" w:rsidRPr="00E26102" w:rsidRDefault="00C02106" w:rsidP="00C02106">
      <w:pPr>
        <w:rPr>
          <w:sz w:val="24"/>
          <w:szCs w:val="24"/>
          <w:lang w:val="uk-UA"/>
        </w:rPr>
      </w:pPr>
      <w:r w:rsidRPr="00E26102">
        <w:rPr>
          <w:sz w:val="24"/>
          <w:szCs w:val="24"/>
          <w:lang w:val="uk-UA"/>
        </w:rPr>
        <w:t xml:space="preserve">Узгоджено:    </w:t>
      </w:r>
    </w:p>
    <w:p w:rsidR="00C02106" w:rsidRDefault="00C02106" w:rsidP="00C02106">
      <w:pPr>
        <w:rPr>
          <w:sz w:val="24"/>
          <w:szCs w:val="24"/>
          <w:lang w:val="uk-UA"/>
        </w:rPr>
      </w:pPr>
      <w:r>
        <w:rPr>
          <w:sz w:val="24"/>
          <w:szCs w:val="24"/>
          <w:lang w:val="uk-UA"/>
        </w:rPr>
        <w:t>Заступник міського голови</w:t>
      </w:r>
      <w:r>
        <w:rPr>
          <w:sz w:val="24"/>
          <w:szCs w:val="24"/>
          <w:lang w:val="uk-UA"/>
        </w:rPr>
        <w:tab/>
      </w:r>
      <w:r>
        <w:rPr>
          <w:sz w:val="24"/>
          <w:szCs w:val="24"/>
          <w:lang w:val="uk-UA"/>
        </w:rPr>
        <w:tab/>
      </w:r>
      <w:r>
        <w:rPr>
          <w:sz w:val="24"/>
          <w:szCs w:val="24"/>
          <w:lang w:val="uk-UA"/>
        </w:rPr>
        <w:tab/>
      </w:r>
      <w:r w:rsidRPr="00E26102">
        <w:rPr>
          <w:sz w:val="24"/>
          <w:szCs w:val="24"/>
          <w:lang w:val="uk-UA"/>
        </w:rPr>
        <w:t>В.В.Василенко</w:t>
      </w:r>
    </w:p>
    <w:p w:rsidR="00C02106" w:rsidRDefault="00C02106" w:rsidP="00C02106">
      <w:pPr>
        <w:rPr>
          <w:sz w:val="24"/>
          <w:szCs w:val="24"/>
          <w:lang w:val="uk-UA"/>
        </w:rPr>
      </w:pPr>
    </w:p>
    <w:p w:rsidR="00C02106" w:rsidRPr="00E26102" w:rsidRDefault="00C02106" w:rsidP="00C02106">
      <w:pPr>
        <w:rPr>
          <w:sz w:val="24"/>
          <w:szCs w:val="24"/>
          <w:lang w:val="uk-UA"/>
        </w:rPr>
      </w:pPr>
      <w:r>
        <w:rPr>
          <w:sz w:val="24"/>
          <w:szCs w:val="24"/>
          <w:lang w:val="uk-UA"/>
        </w:rPr>
        <w:t>22.12.2017</w:t>
      </w:r>
    </w:p>
    <w:p w:rsidR="00C02106" w:rsidRPr="00E26102" w:rsidRDefault="00C02106" w:rsidP="00C02106">
      <w:pPr>
        <w:rPr>
          <w:sz w:val="24"/>
          <w:szCs w:val="24"/>
          <w:lang w:val="uk-UA"/>
        </w:rPr>
      </w:pPr>
    </w:p>
    <w:p w:rsidR="00C02106" w:rsidRPr="00E26102" w:rsidRDefault="00C02106" w:rsidP="00C02106">
      <w:pPr>
        <w:rPr>
          <w:sz w:val="24"/>
          <w:szCs w:val="24"/>
        </w:rPr>
      </w:pPr>
    </w:p>
    <w:p w:rsidR="003E19E2" w:rsidRDefault="003E19E2"/>
    <w:sectPr w:rsidR="003E19E2" w:rsidSect="005B3FE0">
      <w:pgSz w:w="11906" w:h="16838" w:code="9"/>
      <w:pgMar w:top="397" w:right="567" w:bottom="346"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D26FD"/>
    <w:multiLevelType w:val="hybridMultilevel"/>
    <w:tmpl w:val="E3F4B8FC"/>
    <w:lvl w:ilvl="0" w:tplc="4FF83EEE">
      <w:start w:val="1"/>
      <w:numFmt w:val="decimal"/>
      <w:lvlText w:val="%1."/>
      <w:lvlJc w:val="left"/>
      <w:pPr>
        <w:tabs>
          <w:tab w:val="num" w:pos="1080"/>
        </w:tabs>
        <w:ind w:left="108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02106"/>
    <w:rsid w:val="000C332C"/>
    <w:rsid w:val="000F0117"/>
    <w:rsid w:val="001D4F23"/>
    <w:rsid w:val="003E19E2"/>
    <w:rsid w:val="00405CF4"/>
    <w:rsid w:val="007C656C"/>
    <w:rsid w:val="00C02106"/>
    <w:rsid w:val="00C76A7B"/>
    <w:rsid w:val="00D6169D"/>
    <w:rsid w:val="00D6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color w:val="2B2A29"/>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06"/>
    <w:pPr>
      <w:spacing w:line="240" w:lineRule="auto"/>
    </w:pPr>
    <w:rPr>
      <w:rFonts w:eastAsia="Times New Roman" w:cs="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2017-12-21T08:46:00Z</dcterms:created>
  <dcterms:modified xsi:type="dcterms:W3CDTF">2017-12-21T08:48:00Z</dcterms:modified>
</cp:coreProperties>
</file>